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rFonts w:ascii="Calibri" w:cs="Calibri" w:eastAsia="Calibri" w:hAnsi="Calibri"/>
          <w:b/>
          <w:bCs/>
          <w:color w:val="14B8A6"/>
          <w:sz w:val="44"/>
          <w:szCs w:val="44"/>
        </w:rPr>
        <w:t xml:space="preserve">Production Bible</w:t>
      </w:r>
    </w:p>
    <w:p>
      <w:pPr>
        <w:spacing w:after="400"/>
        <w:jc w:val="center"/>
      </w:pPr>
      <w:r>
        <w:rPr>
          <w:rFonts w:ascii="Arial" w:cs="Arial" w:eastAsia="Arial" w:hAnsi="Arial"/>
          <w:color w:val="8B5A2B"/>
          <w:sz w:val="22"/>
          <w:szCs w:val="22"/>
        </w:rPr>
        <w:t xml:space="preserve">كتاب الإنتاج — الهوية · الإضاءة · الكاميرا · الحركة · الصوت</w:t>
      </w:r>
    </w:p>
    <w:p>
      <w:r>
        <w:br w:type="page"/>
      </w:r>
    </w:p>
    <w:p>
      <w:pPr>
        <w:pStyle w:val="Heading1"/>
        <w:spacing w:after="140" w:before="240"/>
      </w:pPr>
      <w:r>
        <w:rPr>
          <w:rFonts w:ascii="Calibri" w:cs="Calibri" w:eastAsia="Calibri" w:hAnsi="Calibri"/>
          <w:b/>
          <w:bCs/>
          <w:color w:val="14B8A6"/>
          <w:sz w:val="32"/>
          <w:szCs w:val="32"/>
        </w:rPr>
        <w:t xml:space="preserve">Visual Identity  —  الهوية البصرية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6760"/>
      </w:tblGrid>
      <w:tr>
        <w:tc>
          <w:tcPr>
            <w:tcW w:type="dxa" w:w="2600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shd w:fill="F5F5E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4B8A6"/>
                <w:sz w:val="20"/>
                <w:szCs w:val="20"/>
              </w:rPr>
              <w:t xml:space="preserve">Overall direction</w:t>
            </w:r>
          </w:p>
        </w:tc>
        <w:tc>
          <w:tcPr>
            <w:tcW w:type="dxa" w:w="6760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bidi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Government-grade cinematic documentary. Luxury minimalism. National prestige. Environmental intelligence.</w:t>
            </w:r>
          </w:p>
        </w:tc>
      </w:tr>
      <w:tr>
        <w:tc>
          <w:tcPr>
            <w:tcW w:type="dxa" w:w="2600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shd w:fill="F5F5E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4B8A6"/>
                <w:sz w:val="20"/>
                <w:szCs w:val="20"/>
              </w:rPr>
              <w:t xml:space="preserve">الاتجاه العام</w:t>
            </w:r>
          </w:p>
        </w:tc>
        <w:tc>
          <w:tcPr>
            <w:tcW w:type="dxa" w:w="6760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bidi/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وثائقي سينمائي حكومي. بساطة فاخرة. هيبة وطنية. ذكاء بيئي.</w:t>
            </w:r>
          </w:p>
        </w:tc>
      </w:tr>
      <w:tr>
        <w:tc>
          <w:tcPr>
            <w:tcW w:type="dxa" w:w="2600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shd w:fill="F5F5E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4B8A6"/>
                <w:sz w:val="20"/>
                <w:szCs w:val="20"/>
              </w:rPr>
              <w:t xml:space="preserve">Signature motif</w:t>
            </w:r>
          </w:p>
        </w:tc>
        <w:tc>
          <w:tcPr>
            <w:tcW w:type="dxa" w:w="6760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bidi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Sadu diagonal color-band border at bottom of every hero card and end frame.</w:t>
            </w:r>
          </w:p>
        </w:tc>
      </w:tr>
      <w:tr>
        <w:tc>
          <w:tcPr>
            <w:tcW w:type="dxa" w:w="2600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shd w:fill="F5F5E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4B8A6"/>
                <w:sz w:val="20"/>
                <w:szCs w:val="20"/>
              </w:rPr>
              <w:t xml:space="preserve">Logo lockup</w:t>
            </w:r>
          </w:p>
        </w:tc>
        <w:tc>
          <w:tcPr>
            <w:tcW w:type="dxa" w:w="6760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bidi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Small diamond mark + capitalized brand text, top-right at 60/80px margin, 85% white.</w:t>
            </w:r>
          </w:p>
        </w:tc>
      </w:tr>
    </w:tbl>
    <w:p>
      <w:r>
        <w:t xml:space="preserve"/>
      </w:r>
    </w:p>
    <w:p>
      <w:pPr>
        <w:pStyle w:val="Heading1"/>
        <w:spacing w:after="140" w:before="240"/>
      </w:pPr>
      <w:r>
        <w:rPr>
          <w:rFonts w:ascii="Calibri" w:cs="Calibri" w:eastAsia="Calibri" w:hAnsi="Calibri"/>
          <w:b/>
          <w:bCs/>
          <w:color w:val="14B8A6"/>
          <w:sz w:val="32"/>
          <w:szCs w:val="32"/>
        </w:rPr>
        <w:t xml:space="preserve">Color Bible  —  كتاب الألوان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6760"/>
      </w:tblGrid>
      <w:tr>
        <w:tc>
          <w:tcPr>
            <w:tcW w:type="dxa" w:w="2600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shd w:fill="F5F5E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4B8A6"/>
                <w:sz w:val="20"/>
                <w:szCs w:val="20"/>
              </w:rPr>
              <w:t xml:space="preserve">Primary — Saudi Green</w:t>
            </w:r>
          </w:p>
        </w:tc>
        <w:tc>
          <w:tcPr>
            <w:tcW w:type="dxa" w:w="6760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bidi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#14B8A6 / hsl(173 80% 40%). Titles, active accents, sub-line.</w:t>
            </w:r>
          </w:p>
        </w:tc>
      </w:tr>
      <w:tr>
        <w:tc>
          <w:tcPr>
            <w:tcW w:type="dxa" w:w="2600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shd w:fill="F5F5E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4B8A6"/>
                <w:sz w:val="20"/>
                <w:szCs w:val="20"/>
              </w:rPr>
              <w:t xml:space="preserve">Accent — Royal Gold</w:t>
            </w:r>
          </w:p>
        </w:tc>
        <w:tc>
          <w:tcPr>
            <w:tcW w:type="dxa" w:w="6760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bidi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#C9A24B. Chapter labels, thin bars, brand mark.</w:t>
            </w:r>
          </w:p>
        </w:tc>
      </w:tr>
      <w:tr>
        <w:tc>
          <w:tcPr>
            <w:tcW w:type="dxa" w:w="2600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shd w:fill="F5F5E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4B8A6"/>
                <w:sz w:val="20"/>
                <w:szCs w:val="20"/>
              </w:rPr>
              <w:t xml:space="preserve">Heritage Brown</w:t>
            </w:r>
          </w:p>
        </w:tc>
        <w:tc>
          <w:tcPr>
            <w:tcW w:type="dxa" w:w="6760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bidi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#8B5A2B. Sadu pattern only.</w:t>
            </w:r>
          </w:p>
        </w:tc>
      </w:tr>
      <w:tr>
        <w:tc>
          <w:tcPr>
            <w:tcW w:type="dxa" w:w="2600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shd w:fill="F5F5E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4B8A6"/>
                <w:sz w:val="20"/>
                <w:szCs w:val="20"/>
              </w:rPr>
              <w:t xml:space="preserve">Alert Maroon</w:t>
            </w:r>
          </w:p>
        </w:tc>
        <w:tc>
          <w:tcPr>
            <w:tcW w:type="dxa" w:w="6760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bidi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#B82929. Sadu pattern accents. Never used as solid CTA.</w:t>
            </w:r>
          </w:p>
        </w:tc>
      </w:tr>
      <w:tr>
        <w:tc>
          <w:tcPr>
            <w:tcW w:type="dxa" w:w="2600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shd w:fill="F5F5E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4B8A6"/>
                <w:sz w:val="20"/>
                <w:szCs w:val="20"/>
              </w:rPr>
              <w:t xml:space="preserve">Pure White</w:t>
            </w:r>
          </w:p>
        </w:tc>
        <w:tc>
          <w:tcPr>
            <w:tcW w:type="dxa" w:w="6760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bidi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#FFFFFF at 85–100%. Main text.</w:t>
            </w:r>
          </w:p>
        </w:tc>
      </w:tr>
      <w:tr>
        <w:tc>
          <w:tcPr>
            <w:tcW w:type="dxa" w:w="2600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shd w:fill="F5F5E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4B8A6"/>
                <w:sz w:val="20"/>
                <w:szCs w:val="20"/>
              </w:rPr>
              <w:t xml:space="preserve">Off-white</w:t>
            </w:r>
          </w:p>
        </w:tc>
        <w:tc>
          <w:tcPr>
            <w:tcW w:type="dxa" w:w="6760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bidi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#E8E4D8. Secondary Latin titles.</w:t>
            </w:r>
          </w:p>
        </w:tc>
      </w:tr>
      <w:tr>
        <w:tc>
          <w:tcPr>
            <w:tcW w:type="dxa" w:w="2600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shd w:fill="F5F5E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4B8A6"/>
                <w:sz w:val="20"/>
                <w:szCs w:val="20"/>
              </w:rPr>
              <w:t xml:space="preserve">Ink</w:t>
            </w:r>
          </w:p>
        </w:tc>
        <w:tc>
          <w:tcPr>
            <w:tcW w:type="dxa" w:w="6760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bidi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#1A2B2A. Document body text.</w:t>
            </w:r>
          </w:p>
        </w:tc>
      </w:tr>
      <w:tr>
        <w:tc>
          <w:tcPr>
            <w:tcW w:type="dxa" w:w="2600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shd w:fill="F5F5E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4B8A6"/>
                <w:sz w:val="20"/>
                <w:szCs w:val="20"/>
              </w:rPr>
              <w:t xml:space="preserve">Never use</w:t>
            </w:r>
          </w:p>
        </w:tc>
        <w:tc>
          <w:tcPr>
            <w:tcW w:type="dxa" w:w="6760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bidi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Saturated neon, cyan, magenta, purple gradients, cyberpunk palettes.</w:t>
            </w:r>
          </w:p>
        </w:tc>
      </w:tr>
    </w:tbl>
    <w:p>
      <w:r>
        <w:t xml:space="preserve"/>
      </w:r>
    </w:p>
    <w:p>
      <w:pPr>
        <w:pStyle w:val="Heading1"/>
        <w:spacing w:after="140" w:before="240"/>
      </w:pPr>
      <w:r>
        <w:rPr>
          <w:rFonts w:ascii="Calibri" w:cs="Calibri" w:eastAsia="Calibri" w:hAnsi="Calibri"/>
          <w:b/>
          <w:bCs/>
          <w:color w:val="14B8A6"/>
          <w:sz w:val="32"/>
          <w:szCs w:val="32"/>
        </w:rPr>
        <w:t xml:space="preserve">Lighting Bible  —  كتاب الإضاءة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6760"/>
      </w:tblGrid>
      <w:tr>
        <w:tc>
          <w:tcPr>
            <w:tcW w:type="dxa" w:w="2600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shd w:fill="F5F5E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4B8A6"/>
                <w:sz w:val="20"/>
                <w:szCs w:val="20"/>
              </w:rPr>
              <w:t xml:space="preserve">Time of day</w:t>
            </w:r>
          </w:p>
        </w:tc>
        <w:tc>
          <w:tcPr>
            <w:tcW w:type="dxa" w:w="6760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bidi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Golden hour or soft dawn as the default.</w:t>
            </w:r>
          </w:p>
        </w:tc>
      </w:tr>
      <w:tr>
        <w:tc>
          <w:tcPr>
            <w:tcW w:type="dxa" w:w="2600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shd w:fill="F5F5E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4B8A6"/>
                <w:sz w:val="20"/>
                <w:szCs w:val="20"/>
              </w:rPr>
              <w:t xml:space="preserve">Quality</w:t>
            </w:r>
          </w:p>
        </w:tc>
        <w:tc>
          <w:tcPr>
            <w:tcW w:type="dxa" w:w="6760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bidi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Soft volumetric, natural atmospheric haze, HDR.</w:t>
            </w:r>
          </w:p>
        </w:tc>
      </w:tr>
      <w:tr>
        <w:tc>
          <w:tcPr>
            <w:tcW w:type="dxa" w:w="2600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shd w:fill="F5F5E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4B8A6"/>
                <w:sz w:val="20"/>
                <w:szCs w:val="20"/>
              </w:rPr>
              <w:t xml:space="preserve">Shadows</w:t>
            </w:r>
          </w:p>
        </w:tc>
        <w:tc>
          <w:tcPr>
            <w:tcW w:type="dxa" w:w="6760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bidi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Long, soft, physically accurate. No hard fill flashes.</w:t>
            </w:r>
          </w:p>
        </w:tc>
      </w:tr>
      <w:tr>
        <w:tc>
          <w:tcPr>
            <w:tcW w:type="dxa" w:w="2600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shd w:fill="F5F5E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4B8A6"/>
                <w:sz w:val="20"/>
                <w:szCs w:val="20"/>
              </w:rPr>
              <w:t xml:space="preserve">Interior</w:t>
            </w:r>
          </w:p>
        </w:tc>
        <w:tc>
          <w:tcPr>
            <w:tcW w:type="dxa" w:w="6760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bidi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Warm ambient + subtle teal rim + subtle gold key. Never flat white light.</w:t>
            </w:r>
          </w:p>
        </w:tc>
      </w:tr>
    </w:tbl>
    <w:p>
      <w:r>
        <w:t xml:space="preserve"/>
      </w:r>
    </w:p>
    <w:p>
      <w:pPr>
        <w:pStyle w:val="Heading1"/>
        <w:spacing w:after="140" w:before="240"/>
      </w:pPr>
      <w:r>
        <w:rPr>
          <w:rFonts w:ascii="Calibri" w:cs="Calibri" w:eastAsia="Calibri" w:hAnsi="Calibri"/>
          <w:b/>
          <w:bCs/>
          <w:color w:val="14B8A6"/>
          <w:sz w:val="32"/>
          <w:szCs w:val="32"/>
        </w:rPr>
        <w:t xml:space="preserve">Camera Bible  —  كتاب الكاميرا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6760"/>
      </w:tblGrid>
      <w:tr>
        <w:tc>
          <w:tcPr>
            <w:tcW w:type="dxa" w:w="2600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shd w:fill="F5F5E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4B8A6"/>
                <w:sz w:val="20"/>
                <w:szCs w:val="20"/>
              </w:rPr>
              <w:t xml:space="preserve">Lens language</w:t>
            </w:r>
          </w:p>
        </w:tc>
        <w:tc>
          <w:tcPr>
            <w:tcW w:type="dxa" w:w="6760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bidi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Ultra-wide for landscapes, 35mm for people, macro for detail.</w:t>
            </w:r>
          </w:p>
        </w:tc>
      </w:tr>
      <w:tr>
        <w:tc>
          <w:tcPr>
            <w:tcW w:type="dxa" w:w="2600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shd w:fill="F5F5E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4B8A6"/>
                <w:sz w:val="20"/>
                <w:szCs w:val="20"/>
              </w:rPr>
              <w:t xml:space="preserve">Composition</w:t>
            </w:r>
          </w:p>
        </w:tc>
        <w:tc>
          <w:tcPr>
            <w:tcW w:type="dxa" w:w="6760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bidi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IMAX-scale, negative space, subject on golden thirds.</w:t>
            </w:r>
          </w:p>
        </w:tc>
      </w:tr>
      <w:tr>
        <w:tc>
          <w:tcPr>
            <w:tcW w:type="dxa" w:w="2600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shd w:fill="F5F5E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4B8A6"/>
                <w:sz w:val="20"/>
                <w:szCs w:val="20"/>
              </w:rPr>
              <w:t xml:space="preserve">Movement</w:t>
            </w:r>
          </w:p>
        </w:tc>
        <w:tc>
          <w:tcPr>
            <w:tcW w:type="dxa" w:w="6760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bidi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Slow drone flyovers, dolly, orbit, macro push. Never static.</w:t>
            </w:r>
          </w:p>
        </w:tc>
      </w:tr>
      <w:tr>
        <w:tc>
          <w:tcPr>
            <w:tcW w:type="dxa" w:w="2600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shd w:fill="F5F5E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4B8A6"/>
                <w:sz w:val="20"/>
                <w:szCs w:val="20"/>
              </w:rPr>
              <w:t xml:space="preserve">Post movement</w:t>
            </w:r>
          </w:p>
        </w:tc>
        <w:tc>
          <w:tcPr>
            <w:tcW w:type="dxa" w:w="6760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bidi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Ken Burns push/pull/drift 2–4% scale per scene, alternated.</w:t>
            </w:r>
          </w:p>
        </w:tc>
      </w:tr>
    </w:tbl>
    <w:p>
      <w:r>
        <w:t xml:space="preserve"/>
      </w:r>
    </w:p>
    <w:p>
      <w:pPr>
        <w:pStyle w:val="Heading1"/>
        <w:spacing w:after="140" w:before="240"/>
      </w:pPr>
      <w:r>
        <w:rPr>
          <w:rFonts w:ascii="Calibri" w:cs="Calibri" w:eastAsia="Calibri" w:hAnsi="Calibri"/>
          <w:b/>
          <w:bCs/>
          <w:color w:val="14B8A6"/>
          <w:sz w:val="32"/>
          <w:szCs w:val="32"/>
        </w:rPr>
        <w:t xml:space="preserve">Animation Bible  —  كتاب الحركة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6760"/>
      </w:tblGrid>
      <w:tr>
        <w:tc>
          <w:tcPr>
            <w:tcW w:type="dxa" w:w="2600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shd w:fill="F5F5E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4B8A6"/>
                <w:sz w:val="20"/>
                <w:szCs w:val="20"/>
              </w:rPr>
              <w:t xml:space="preserve">Title entrance</w:t>
            </w:r>
          </w:p>
        </w:tc>
        <w:tc>
          <w:tcPr>
            <w:tcW w:type="dxa" w:w="6760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bidi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Spring damping 22 / stiffness 90. Y-offset 40→0. Blur 12→0. Opacity 0→1 over 15f.</w:t>
            </w:r>
          </w:p>
        </w:tc>
      </w:tr>
      <w:tr>
        <w:tc>
          <w:tcPr>
            <w:tcW w:type="dxa" w:w="2600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shd w:fill="F5F5E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4B8A6"/>
                <w:sz w:val="20"/>
                <w:szCs w:val="20"/>
              </w:rPr>
              <w:t xml:space="preserve">Bar reveal</w:t>
            </w:r>
          </w:p>
        </w:tc>
        <w:tc>
          <w:tcPr>
            <w:tcW w:type="dxa" w:w="6760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bidi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Gold bar width 0→120px synced with title spring.</w:t>
            </w:r>
          </w:p>
        </w:tc>
      </w:tr>
      <w:tr>
        <w:tc>
          <w:tcPr>
            <w:tcW w:type="dxa" w:w="2600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shd w:fill="F5F5E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4B8A6"/>
                <w:sz w:val="20"/>
                <w:szCs w:val="20"/>
              </w:rPr>
              <w:t xml:space="preserve">Image</w:t>
            </w:r>
          </w:p>
        </w:tc>
        <w:tc>
          <w:tcPr>
            <w:tcW w:type="dxa" w:w="6760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bidi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Continuous Ken Burns for the full scene duration.</w:t>
            </w:r>
          </w:p>
        </w:tc>
      </w:tr>
      <w:tr>
        <w:tc>
          <w:tcPr>
            <w:tcW w:type="dxa" w:w="2600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shd w:fill="F5F5E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4B8A6"/>
                <w:sz w:val="20"/>
                <w:szCs w:val="20"/>
              </w:rPr>
              <w:t xml:space="preserve">Chapter mark</w:t>
            </w:r>
          </w:p>
        </w:tc>
        <w:tc>
          <w:tcPr>
            <w:tcW w:type="dxa" w:w="6760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bidi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Optional 10-frame fade-in on act-opening scenes only.</w:t>
            </w:r>
          </w:p>
        </w:tc>
      </w:tr>
    </w:tbl>
    <w:p>
      <w:r>
        <w:t xml:space="preserve"/>
      </w:r>
    </w:p>
    <w:p>
      <w:pPr>
        <w:pStyle w:val="Heading1"/>
        <w:spacing w:after="140" w:before="240"/>
      </w:pPr>
      <w:r>
        <w:rPr>
          <w:rFonts w:ascii="Calibri" w:cs="Calibri" w:eastAsia="Calibri" w:hAnsi="Calibri"/>
          <w:b/>
          <w:bCs/>
          <w:color w:val="14B8A6"/>
          <w:sz w:val="32"/>
          <w:szCs w:val="32"/>
        </w:rPr>
        <w:t xml:space="preserve">Transitions Bible  —  كتاب الانتقالات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6760"/>
      </w:tblGrid>
      <w:tr>
        <w:tc>
          <w:tcPr>
            <w:tcW w:type="dxa" w:w="2600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shd w:fill="F5F5E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4B8A6"/>
                <w:sz w:val="20"/>
                <w:szCs w:val="20"/>
              </w:rPr>
              <w:t xml:space="preserve">Default</w:t>
            </w:r>
          </w:p>
        </w:tc>
        <w:tc>
          <w:tcPr>
            <w:tcW w:type="dxa" w:w="6760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bidi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Cross-fade, linearTiming 20 frames — 2/3 of cuts.</w:t>
            </w:r>
          </w:p>
        </w:tc>
      </w:tr>
      <w:tr>
        <w:tc>
          <w:tcPr>
            <w:tcW w:type="dxa" w:w="2600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shd w:fill="F5F5E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4B8A6"/>
                <w:sz w:val="20"/>
                <w:szCs w:val="20"/>
              </w:rPr>
              <w:t xml:space="preserve">Accent</w:t>
            </w:r>
          </w:p>
        </w:tc>
        <w:tc>
          <w:tcPr>
            <w:tcW w:type="dxa" w:w="6760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bidi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Slide from-right, springTiming damping 200, 24 frames — every 3rd cut.</w:t>
            </w:r>
          </w:p>
        </w:tc>
      </w:tr>
      <w:tr>
        <w:tc>
          <w:tcPr>
            <w:tcW w:type="dxa" w:w="2600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shd w:fill="F5F5E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4B8A6"/>
                <w:sz w:val="20"/>
                <w:szCs w:val="20"/>
              </w:rPr>
              <w:t xml:space="preserve">Act boundary</w:t>
            </w:r>
          </w:p>
        </w:tc>
        <w:tc>
          <w:tcPr>
            <w:tcW w:type="dxa" w:w="6760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bidi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Longer cross-fade (28 frames) with 12-frame black hold suggested for edit.</w:t>
            </w:r>
          </w:p>
        </w:tc>
      </w:tr>
      <w:tr>
        <w:tc>
          <w:tcPr>
            <w:tcW w:type="dxa" w:w="2600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shd w:fill="F5F5E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4B8A6"/>
                <w:sz w:val="20"/>
                <w:szCs w:val="20"/>
              </w:rPr>
              <w:t xml:space="preserve">Never</w:t>
            </w:r>
          </w:p>
        </w:tc>
        <w:tc>
          <w:tcPr>
            <w:tcW w:type="dxa" w:w="6760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bidi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Whip pans, glitch cuts, spin, star-wipes, cheap presets.</w:t>
            </w:r>
          </w:p>
        </w:tc>
      </w:tr>
    </w:tbl>
    <w:p>
      <w:r>
        <w:t xml:space="preserve"/>
      </w:r>
    </w:p>
    <w:p>
      <w:pPr>
        <w:pStyle w:val="Heading1"/>
        <w:spacing w:after="140" w:before="240"/>
      </w:pPr>
      <w:r>
        <w:rPr>
          <w:rFonts w:ascii="Calibri" w:cs="Calibri" w:eastAsia="Calibri" w:hAnsi="Calibri"/>
          <w:b/>
          <w:bCs/>
          <w:color w:val="14B8A6"/>
          <w:sz w:val="32"/>
          <w:szCs w:val="32"/>
        </w:rPr>
        <w:t xml:space="preserve">Sound Design Guide  —  دليل التصميم الصوتي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6760"/>
      </w:tblGrid>
      <w:tr>
        <w:tc>
          <w:tcPr>
            <w:tcW w:type="dxa" w:w="2600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shd w:fill="F5F5E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4B8A6"/>
                <w:sz w:val="20"/>
                <w:szCs w:val="20"/>
              </w:rPr>
              <w:t xml:space="preserve">Ambient bed</w:t>
            </w:r>
          </w:p>
        </w:tc>
        <w:tc>
          <w:tcPr>
            <w:tcW w:type="dxa" w:w="6760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bidi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Deep tonal drone in F# minor, -18 LUFS.</w:t>
            </w:r>
          </w:p>
        </w:tc>
      </w:tr>
      <w:tr>
        <w:tc>
          <w:tcPr>
            <w:tcW w:type="dxa" w:w="2600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shd w:fill="F5F5E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4B8A6"/>
                <w:sz w:val="20"/>
                <w:szCs w:val="20"/>
              </w:rPr>
              <w:t xml:space="preserve">Foley</w:t>
            </w:r>
          </w:p>
        </w:tc>
        <w:tc>
          <w:tcPr>
            <w:tcW w:type="dxa" w:w="6760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bidi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Fine desert wind, distant birds, water droplet, low sub pulse on cuts.</w:t>
            </w:r>
          </w:p>
        </w:tc>
      </w:tr>
      <w:tr>
        <w:tc>
          <w:tcPr>
            <w:tcW w:type="dxa" w:w="2600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shd w:fill="F5F5E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4B8A6"/>
                <w:sz w:val="20"/>
                <w:szCs w:val="20"/>
              </w:rPr>
              <w:t xml:space="preserve">Music</w:t>
            </w:r>
          </w:p>
        </w:tc>
        <w:tc>
          <w:tcPr>
            <w:tcW w:type="dxa" w:w="6760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bidi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Orchestral minimal with oud &amp; duduk motifs. 72–86 BPM. Never uplifting-EDM.</w:t>
            </w:r>
          </w:p>
        </w:tc>
      </w:tr>
      <w:tr>
        <w:tc>
          <w:tcPr>
            <w:tcW w:type="dxa" w:w="2600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shd w:fill="F5F5E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4B8A6"/>
                <w:sz w:val="20"/>
                <w:szCs w:val="20"/>
              </w:rPr>
              <w:t xml:space="preserve">Mix</w:t>
            </w:r>
          </w:p>
        </w:tc>
        <w:tc>
          <w:tcPr>
            <w:tcW w:type="dxa" w:w="6760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bidi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Dialogue -12 LUFS, music -20 LUFS, ambient -28 LUFS. True peak -1 dBTP.</w:t>
            </w:r>
          </w:p>
        </w:tc>
      </w:tr>
    </w:tbl>
    <w:p>
      <w:r>
        <w:t xml:space="preserve"/>
      </w:r>
    </w:p>
    <w:p>
      <w:pPr>
        <w:pStyle w:val="Heading1"/>
        <w:spacing w:after="140" w:before="240"/>
      </w:pPr>
      <w:r>
        <w:rPr>
          <w:rFonts w:ascii="Calibri" w:cs="Calibri" w:eastAsia="Calibri" w:hAnsi="Calibri"/>
          <w:b/>
          <w:bCs/>
          <w:color w:val="14B8A6"/>
          <w:sz w:val="32"/>
          <w:szCs w:val="32"/>
        </w:rPr>
        <w:t xml:space="preserve">Editing Guide  —  دليل المونتاج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6760"/>
      </w:tblGrid>
      <w:tr>
        <w:tc>
          <w:tcPr>
            <w:tcW w:type="dxa" w:w="2600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shd w:fill="F5F5E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4B8A6"/>
                <w:sz w:val="20"/>
                <w:szCs w:val="20"/>
              </w:rPr>
              <w:t xml:space="preserve">Rhythm</w:t>
            </w:r>
          </w:p>
        </w:tc>
        <w:tc>
          <w:tcPr>
            <w:tcW w:type="dxa" w:w="6760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bidi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4–7s per shot. Vary. Never metronomic.</w:t>
            </w:r>
          </w:p>
        </w:tc>
      </w:tr>
      <w:tr>
        <w:tc>
          <w:tcPr>
            <w:tcW w:type="dxa" w:w="2600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shd w:fill="F5F5E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4B8A6"/>
                <w:sz w:val="20"/>
                <w:szCs w:val="20"/>
              </w:rPr>
              <w:t xml:space="preserve">Openings</w:t>
            </w:r>
          </w:p>
        </w:tc>
        <w:tc>
          <w:tcPr>
            <w:tcW w:type="dxa" w:w="6760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bidi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Each act opens with a 6s hero establishing shot.</w:t>
            </w:r>
          </w:p>
        </w:tc>
      </w:tr>
      <w:tr>
        <w:tc>
          <w:tcPr>
            <w:tcW w:type="dxa" w:w="2600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shd w:fill="F5F5E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4B8A6"/>
                <w:sz w:val="20"/>
                <w:szCs w:val="20"/>
              </w:rPr>
              <w:t xml:space="preserve">Closings</w:t>
            </w:r>
          </w:p>
        </w:tc>
        <w:tc>
          <w:tcPr>
            <w:tcW w:type="dxa" w:w="6760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bidi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Each act closes with a contemplative 5–6s wide.</w:t>
            </w:r>
          </w:p>
        </w:tc>
      </w:tr>
      <w:tr>
        <w:tc>
          <w:tcPr>
            <w:tcW w:type="dxa" w:w="2600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shd w:fill="F5F5E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4B8A6"/>
                <w:sz w:val="20"/>
                <w:szCs w:val="20"/>
              </w:rPr>
              <w:t xml:space="preserve">Grade</w:t>
            </w:r>
          </w:p>
        </w:tc>
        <w:tc>
          <w:tcPr>
            <w:tcW w:type="dxa" w:w="6760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bidi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Warm mid, cool shadow, +6 highlight gold, lifted greens (Saudi green pull).</w:t>
            </w:r>
          </w:p>
        </w:tc>
      </w:tr>
    </w:tbl>
    <w:p>
      <w:r>
        <w:t xml:space="preserve"/>
      </w:r>
    </w:p>
    <w:p>
      <w:pPr>
        <w:pStyle w:val="Heading1"/>
        <w:spacing w:after="140" w:before="240"/>
      </w:pPr>
      <w:r>
        <w:rPr>
          <w:rFonts w:ascii="Calibri" w:cs="Calibri" w:eastAsia="Calibri" w:hAnsi="Calibri"/>
          <w:b/>
          <w:bCs/>
          <w:color w:val="14B8A6"/>
          <w:sz w:val="32"/>
          <w:szCs w:val="32"/>
        </w:rPr>
        <w:t xml:space="preserve">Music Direction  —  توجيه الموسيقى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6760"/>
      </w:tblGrid>
      <w:tr>
        <w:tc>
          <w:tcPr>
            <w:tcW w:type="dxa" w:w="2600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shd w:fill="F5F5E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4B8A6"/>
                <w:sz w:val="20"/>
                <w:szCs w:val="20"/>
              </w:rPr>
              <w:t xml:space="preserve">Act I</w:t>
            </w:r>
          </w:p>
        </w:tc>
        <w:tc>
          <w:tcPr>
            <w:tcW w:type="dxa" w:w="6760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bidi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Sparse solo oud, wide reverb. Introspective.</w:t>
            </w:r>
          </w:p>
        </w:tc>
      </w:tr>
      <w:tr>
        <w:tc>
          <w:tcPr>
            <w:tcW w:type="dxa" w:w="2600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shd w:fill="F5F5E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4B8A6"/>
                <w:sz w:val="20"/>
                <w:szCs w:val="20"/>
              </w:rPr>
              <w:t xml:space="preserve">Act II</w:t>
            </w:r>
          </w:p>
        </w:tc>
        <w:tc>
          <w:tcPr>
            <w:tcW w:type="dxa" w:w="6760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bidi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Add ambient pads, subtle pulse. Curiosity.</w:t>
            </w:r>
          </w:p>
        </w:tc>
      </w:tr>
      <w:tr>
        <w:tc>
          <w:tcPr>
            <w:tcW w:type="dxa" w:w="2600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shd w:fill="F5F5E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4B8A6"/>
                <w:sz w:val="20"/>
                <w:szCs w:val="20"/>
              </w:rPr>
              <w:t xml:space="preserve">Act III</w:t>
            </w:r>
          </w:p>
        </w:tc>
        <w:tc>
          <w:tcPr>
            <w:tcW w:type="dxa" w:w="6760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bidi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Strings enter. Governance, weight.</w:t>
            </w:r>
          </w:p>
        </w:tc>
      </w:tr>
      <w:tr>
        <w:tc>
          <w:tcPr>
            <w:tcW w:type="dxa" w:w="2600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shd w:fill="F5F5E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4B8A6"/>
                <w:sz w:val="20"/>
                <w:szCs w:val="20"/>
              </w:rPr>
              <w:t xml:space="preserve">Act IV</w:t>
            </w:r>
          </w:p>
        </w:tc>
        <w:tc>
          <w:tcPr>
            <w:tcW w:type="dxa" w:w="6760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bidi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Full ensemble, restrained percussion. Momentum.</w:t>
            </w:r>
          </w:p>
        </w:tc>
      </w:tr>
      <w:tr>
        <w:tc>
          <w:tcPr>
            <w:tcW w:type="dxa" w:w="2600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shd w:fill="F5F5E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4B8A6"/>
                <w:sz w:val="20"/>
                <w:szCs w:val="20"/>
              </w:rPr>
              <w:t xml:space="preserve">Act V</w:t>
            </w:r>
          </w:p>
        </w:tc>
        <w:tc>
          <w:tcPr>
            <w:tcW w:type="dxa" w:w="6760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bidi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Duduk lead + choir pad. Resolute optimism. Final chord holds under closing frame.</w:t>
            </w:r>
          </w:p>
        </w:tc>
      </w:tr>
    </w:tbl>
    <w:p>
      <w:r>
        <w:t xml:space="preserve"/>
      </w:r>
    </w:p>
    <w:sectPr>
      <w:pgSz w:w="12240" w:h="15840" w:orient="portrait"/>
      <w:pgMar w:top="1200" w:right="1200" w:bottom="1200" w:left="12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Production Bible</dc:title>
  <dc:creator>OROX</dc:creator>
  <cp:lastModifiedBy>Un-named</cp:lastModifiedBy>
  <cp:revision>1</cp:revision>
  <dcterms:created xsi:type="dcterms:W3CDTF">2026-07-25T15:25:55.573Z</dcterms:created>
  <dcterms:modified xsi:type="dcterms:W3CDTF">2026-07-25T15:25:55.573Z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